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</w:t>
      </w:r>
    </w:p>
    <w:p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0</w:t>
      </w:r>
      <w:r>
        <w:rPr>
          <w:rFonts w:eastAsia="Times New Roman" w:cs="Times New Roman"/>
          <w:bCs/>
          <w:sz w:val="28"/>
          <w:szCs w:val="28"/>
        </w:rPr>
        <w:t>3</w:t>
      </w:r>
      <w:r>
        <w:rPr>
          <w:rFonts w:eastAsia="Times New Roman" w:cs="Times New Roman"/>
          <w:bCs/>
          <w:sz w:val="28"/>
          <w:szCs w:val="28"/>
        </w:rPr>
        <w:t>.0</w:t>
      </w:r>
      <w:r>
        <w:rPr>
          <w:rFonts w:eastAsia="Times New Roman" w:cs="Times New Roman"/>
          <w:bCs/>
          <w:sz w:val="28"/>
          <w:szCs w:val="28"/>
        </w:rPr>
        <w:t>6</w:t>
      </w:r>
      <w:r>
        <w:rPr>
          <w:rFonts w:eastAsia="Times New Roman" w:cs="Times New Roman"/>
          <w:bCs/>
          <w:sz w:val="28"/>
          <w:szCs w:val="28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и на сайте Управления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cs="Times New Roman"/>
          <w:b w:val="false"/>
          <w:bCs w:val="false"/>
          <w:color w:themeColor="text1" w:val="000000"/>
          <w:sz w:val="28"/>
          <w:szCs w:val="28"/>
        </w:rPr>
      </w:pPr>
      <w:hyperlink r:id="rId3" w:tgtFrame="https://rkc56.ru/documents/6948">
        <w:r>
          <w:rPr>
            <w:rStyle w:val="Hyperlink"/>
            <w:rFonts w:eastAsia="Times New Roman" w:cs="Times New Roman" w:ascii="Times New Roman" w:hAnsi="Times New Roman"/>
            <w:b/>
            <w:color w:themeColor="text1" w:val="000000"/>
            <w:sz w:val="28"/>
            <w:szCs w:val="28"/>
            <w:u w:val="single"/>
          </w:rPr>
          <w:t>Федеральный закон от 26.12.2024 № 487-ФЗ</w:t>
        </w:r>
      </w:hyperlink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внёс глобальные изменения в сферу недвижимости: например, без межевания земельного участка теперь нельзя совершать сделки с правами недвижимости, после строительства дома необходимо сразу же его поставить на кадастровый учет и зарегистрировать права, а также выкупить участок под зданием и сооружением, который находится в вашей собственности и многие другие.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Одна из норм внесла важные изменения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 xml:space="preserve">в процедуру оформления ранее учтенных объектов недвижимости. 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С указанной даты внесение в Единый государственный реестр недвижимости (ЕГРН) сведений о ранее учтенных объектах недвижимости (объектах капитального строительства и земельных участках) возможно только при представлении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>технического плана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 xml:space="preserve"> или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>межевого плана</w:t>
      </w: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.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cs="Times New Roman"/>
          <w:b w:val="false"/>
          <w:bCs w:val="false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>Ранее учтенные объекты недвижимости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– объекты (земельные участки и объекты капитального строительства – здания, сооружения, помещения), в отношении которых технический учет или государственный учет осуществлен до 1 марта 2008 года, а также объекты, в отношении которых такой учет не осуществлен, но права на них зарегистрированы в ЕГРН с присвоением условных номеров в порядке, установленном в соответствии с Федеральным законом № 122-ФЗ.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cs="Times New Roman"/>
          <w:b w:val="false"/>
          <w:bCs w:val="false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Так, в отношении земельного участка необходимо представить документ, устанавливающий или подтверждающий право земельный участок (например, старое свидетельство, государственный акт или выписку из похозяйственной книги) и межевой план. В отношении здания, сооружения, объекта незавершенного строительства, помещения, машино-места – правоустанавливающий документ на такой объект недвижимости и технический план.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themeColor="text1" w:val="000000"/>
          <w:sz w:val="28"/>
          <w:szCs w:val="28"/>
        </w:rPr>
        <w:t>Исключение составляют только случаи, когда с заявлением о внесении сведений о ранее учтенном объекте недвижимости в ЕГРН обращается уполномоченный орган, выполняющий мероприятия по обеспечению внесения в ЕГРН сведений о выявленных правообладателях (не требуется представление межевого плана и технического плана).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С 1 марта 2025 года отсутствие в пакете документов вновь изготовленного межевого (если речь идет о земельном участке) или технического плана (на объект капитального строительства) является причиной для вынесения решения о </w:t>
      </w: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>приостановлении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</w:rPr>
        <w:t xml:space="preserve"> в проведении учетно-регистрационных действий.</w:t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8"/>
          <w:szCs w:val="28"/>
          <w:highlight w:val="none"/>
        </w:rPr>
      </w:pPr>
      <w:r>
        <w:rPr/>
        <w:drawing>
          <wp:inline distT="0" distB="0" distL="0" distR="0">
            <wp:extent cx="4858385" cy="485838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hanging="0" w:left="0" w:right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kc56.ru/documents/6948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293</Words>
  <Characters>2028</Characters>
  <CharactersWithSpaces>2389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2025-06-03T15:42:08Z</dcterms:modified>
  <cp:revision>4</cp:revision>
  <dc:subject/>
  <dc:title/>
</cp:coreProperties>
</file>