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BD" w:rsidRDefault="008B5ABD" w:rsidP="008B5ABD">
      <w:pPr>
        <w:ind w:firstLine="709"/>
        <w:jc w:val="both"/>
        <w:rPr>
          <w:rFonts w:cs="Segoe UI Symbol"/>
        </w:rPr>
      </w:pPr>
      <w:r>
        <w:rPr>
          <w:rFonts w:cs="Segoe UI Symbol"/>
        </w:rPr>
        <w:t xml:space="preserve">Жители </w:t>
      </w:r>
      <w:bookmarkStart w:id="0" w:name="_GoBack"/>
      <w:bookmarkEnd w:id="0"/>
      <w:r>
        <w:rPr>
          <w:rFonts w:cs="Segoe UI Symbol"/>
        </w:rPr>
        <w:t xml:space="preserve">Алтайского края могут заявить о льготах по налогам на имущество, транспорт и землю за прошлый год.  </w:t>
      </w:r>
    </w:p>
    <w:p w:rsidR="008B5ABD" w:rsidRPr="008B5ABD" w:rsidRDefault="008B5ABD" w:rsidP="008B5ABD">
      <w:pPr>
        <w:ind w:firstLine="709"/>
        <w:jc w:val="both"/>
        <w:rPr>
          <w:rFonts w:cs="Segoe UI Symbol"/>
        </w:rPr>
      </w:pPr>
      <w:r w:rsidRPr="008B5ABD">
        <w:t xml:space="preserve">Основные категории граждан, имеющие право на налоговые льготы, включают пенсионеров, </w:t>
      </w:r>
      <w:proofErr w:type="spellStart"/>
      <w:r w:rsidRPr="008B5ABD">
        <w:t>предпенсионеров</w:t>
      </w:r>
      <w:proofErr w:type="spellEnd"/>
      <w:r w:rsidRPr="008B5ABD">
        <w:t xml:space="preserve"> (женщины -55 лет, мужчины – 60 лет), ветеранов боевых действий, инвалидов, многодетные семьи.</w:t>
      </w:r>
    </w:p>
    <w:p w:rsidR="008B5ABD" w:rsidRPr="008B5ABD" w:rsidRDefault="008B5ABD" w:rsidP="008B5ABD">
      <w:pPr>
        <w:jc w:val="both"/>
      </w:pPr>
      <w:r>
        <w:rPr>
          <w:rFonts w:cs="Segoe UI Symbol"/>
        </w:rPr>
        <w:t xml:space="preserve">              </w:t>
      </w:r>
      <w:r w:rsidRPr="008B5ABD">
        <w:t>Льготы могут быть предоставлены на один объект:</w:t>
      </w:r>
      <w:r w:rsidRPr="008B5ABD">
        <w:br/>
      </w:r>
      <w:r w:rsidRPr="008B5ABD">
        <w:rPr>
          <w:rFonts w:ascii="Segoe UI Symbol" w:hAnsi="Segoe UI Symbol" w:cs="Segoe UI Symbol"/>
        </w:rPr>
        <w:t>✅</w:t>
      </w:r>
      <w:r w:rsidRPr="008B5ABD">
        <w:t xml:space="preserve"> </w:t>
      </w:r>
      <w:r w:rsidRPr="008B5ABD">
        <w:rPr>
          <w:rFonts w:ascii="Calibri" w:hAnsi="Calibri" w:cs="Calibri"/>
        </w:rPr>
        <w:t>По</w:t>
      </w:r>
      <w:r w:rsidRPr="008B5ABD">
        <w:t xml:space="preserve"> </w:t>
      </w:r>
      <w:r w:rsidRPr="008B5ABD">
        <w:rPr>
          <w:rFonts w:ascii="Calibri" w:hAnsi="Calibri" w:cs="Calibri"/>
        </w:rPr>
        <w:t>налогу</w:t>
      </w:r>
      <w:r w:rsidRPr="008B5ABD">
        <w:t xml:space="preserve"> </w:t>
      </w:r>
      <w:r w:rsidRPr="008B5ABD">
        <w:rPr>
          <w:rFonts w:ascii="Calibri" w:hAnsi="Calibri" w:cs="Calibri"/>
        </w:rPr>
        <w:t>на</w:t>
      </w:r>
      <w:r w:rsidRPr="008B5ABD">
        <w:t xml:space="preserve"> </w:t>
      </w:r>
      <w:r w:rsidRPr="008B5ABD">
        <w:rPr>
          <w:rFonts w:ascii="Calibri" w:hAnsi="Calibri" w:cs="Calibri"/>
        </w:rPr>
        <w:t>имущество</w:t>
      </w:r>
      <w:r w:rsidRPr="008B5ABD">
        <w:t xml:space="preserve"> правило распространяется на один объект в каждой категории: квартира, жилой дом или доли в них, гараж.</w:t>
      </w:r>
      <w:r w:rsidRPr="008B5ABD">
        <w:br/>
      </w:r>
      <w:r w:rsidRPr="008B5ABD">
        <w:rPr>
          <w:rFonts w:ascii="Segoe UI Symbol" w:hAnsi="Segoe UI Symbol" w:cs="Segoe UI Symbol"/>
        </w:rPr>
        <w:t>✅</w:t>
      </w:r>
      <w:r w:rsidRPr="008B5ABD">
        <w:t xml:space="preserve"> </w:t>
      </w:r>
      <w:r w:rsidRPr="008B5ABD">
        <w:rPr>
          <w:rFonts w:ascii="Calibri" w:hAnsi="Calibri" w:cs="Calibri"/>
        </w:rPr>
        <w:t>По</w:t>
      </w:r>
      <w:r w:rsidRPr="008B5ABD">
        <w:t xml:space="preserve"> </w:t>
      </w:r>
      <w:r w:rsidRPr="008B5ABD">
        <w:rPr>
          <w:rFonts w:ascii="Calibri" w:hAnsi="Calibri" w:cs="Calibri"/>
        </w:rPr>
        <w:t>транспортному</w:t>
      </w:r>
      <w:r w:rsidRPr="008B5ABD">
        <w:t xml:space="preserve"> </w:t>
      </w:r>
      <w:r w:rsidRPr="008B5ABD">
        <w:rPr>
          <w:rFonts w:ascii="Calibri" w:hAnsi="Calibri" w:cs="Calibri"/>
        </w:rPr>
        <w:t>налогу</w:t>
      </w:r>
      <w:r w:rsidRPr="008B5ABD">
        <w:t xml:space="preserve"> </w:t>
      </w:r>
      <w:r w:rsidRPr="008B5ABD">
        <w:rPr>
          <w:rFonts w:ascii="Calibri" w:hAnsi="Calibri" w:cs="Calibri"/>
        </w:rPr>
        <w:t>на</w:t>
      </w:r>
      <w:r w:rsidRPr="008B5ABD">
        <w:t xml:space="preserve"> </w:t>
      </w:r>
      <w:r w:rsidRPr="008B5ABD">
        <w:rPr>
          <w:rFonts w:ascii="Calibri" w:hAnsi="Calibri" w:cs="Calibri"/>
        </w:rPr>
        <w:t>одно</w:t>
      </w:r>
      <w:r w:rsidRPr="008B5ABD">
        <w:t xml:space="preserve"> </w:t>
      </w:r>
      <w:r w:rsidRPr="008B5ABD">
        <w:rPr>
          <w:rFonts w:ascii="Calibri" w:hAnsi="Calibri" w:cs="Calibri"/>
        </w:rPr>
        <w:t>авто</w:t>
      </w:r>
      <w:r w:rsidRPr="008B5ABD">
        <w:t xml:space="preserve"> </w:t>
      </w:r>
      <w:r w:rsidRPr="008B5ABD">
        <w:rPr>
          <w:rFonts w:ascii="Calibri" w:hAnsi="Calibri" w:cs="Calibri"/>
        </w:rPr>
        <w:t>с</w:t>
      </w:r>
      <w:r w:rsidRPr="008B5ABD">
        <w:t xml:space="preserve"> </w:t>
      </w:r>
      <w:r w:rsidRPr="008B5ABD">
        <w:rPr>
          <w:rFonts w:ascii="Calibri" w:hAnsi="Calibri" w:cs="Calibri"/>
        </w:rPr>
        <w:t>мощностью</w:t>
      </w:r>
      <w:r w:rsidRPr="008B5ABD">
        <w:t xml:space="preserve"> </w:t>
      </w:r>
      <w:r w:rsidRPr="008B5ABD">
        <w:rPr>
          <w:rFonts w:ascii="Calibri" w:hAnsi="Calibri" w:cs="Calibri"/>
        </w:rPr>
        <w:t>двигателя</w:t>
      </w:r>
      <w:r w:rsidRPr="008B5ABD">
        <w:t xml:space="preserve"> </w:t>
      </w:r>
      <w:r w:rsidRPr="008B5ABD">
        <w:rPr>
          <w:rFonts w:ascii="Calibri" w:hAnsi="Calibri" w:cs="Calibri"/>
        </w:rPr>
        <w:t>не</w:t>
      </w:r>
      <w:r w:rsidRPr="008B5ABD">
        <w:t xml:space="preserve"> </w:t>
      </w:r>
      <w:r w:rsidRPr="008B5ABD">
        <w:rPr>
          <w:rFonts w:ascii="Calibri" w:hAnsi="Calibri" w:cs="Calibri"/>
        </w:rPr>
        <w:t>более</w:t>
      </w:r>
      <w:r w:rsidRPr="008B5ABD">
        <w:t xml:space="preserve"> 100 </w:t>
      </w:r>
      <w:proofErr w:type="spellStart"/>
      <w:r w:rsidRPr="008B5ABD">
        <w:rPr>
          <w:rFonts w:ascii="Calibri" w:hAnsi="Calibri" w:cs="Calibri"/>
        </w:rPr>
        <w:t>л</w:t>
      </w:r>
      <w:r w:rsidRPr="008B5ABD">
        <w:t>.</w:t>
      </w:r>
      <w:r w:rsidRPr="008B5ABD">
        <w:rPr>
          <w:rFonts w:ascii="Calibri" w:hAnsi="Calibri" w:cs="Calibri"/>
        </w:rPr>
        <w:t>с</w:t>
      </w:r>
      <w:proofErr w:type="spellEnd"/>
      <w:r w:rsidRPr="008B5ABD">
        <w:t>.</w:t>
      </w:r>
      <w:r w:rsidRPr="008B5ABD">
        <w:br/>
      </w:r>
      <w:r w:rsidRPr="008B5ABD">
        <w:rPr>
          <w:rFonts w:ascii="Segoe UI Symbol" w:hAnsi="Segoe UI Symbol" w:cs="Segoe UI Symbol"/>
        </w:rPr>
        <w:t>✅</w:t>
      </w:r>
      <w:r w:rsidRPr="008B5ABD">
        <w:t xml:space="preserve"> </w:t>
      </w:r>
      <w:r w:rsidRPr="008B5ABD">
        <w:rPr>
          <w:rFonts w:ascii="Calibri" w:hAnsi="Calibri" w:cs="Calibri"/>
        </w:rPr>
        <w:t>Также</w:t>
      </w:r>
      <w:r w:rsidRPr="008B5ABD">
        <w:t xml:space="preserve"> </w:t>
      </w:r>
      <w:r w:rsidRPr="008B5ABD">
        <w:rPr>
          <w:rFonts w:ascii="Calibri" w:hAnsi="Calibri" w:cs="Calibri"/>
        </w:rPr>
        <w:t>действует</w:t>
      </w:r>
      <w:r w:rsidRPr="008B5ABD">
        <w:t xml:space="preserve"> </w:t>
      </w:r>
      <w:r w:rsidRPr="008B5ABD">
        <w:rPr>
          <w:rFonts w:ascii="Calibri" w:hAnsi="Calibri" w:cs="Calibri"/>
        </w:rPr>
        <w:t>вычет</w:t>
      </w:r>
      <w:r w:rsidRPr="008B5ABD">
        <w:t xml:space="preserve"> </w:t>
      </w:r>
      <w:r w:rsidRPr="008B5ABD">
        <w:rPr>
          <w:rFonts w:ascii="Calibri" w:hAnsi="Calibri" w:cs="Calibri"/>
        </w:rPr>
        <w:t>по</w:t>
      </w:r>
      <w:r w:rsidRPr="008B5ABD">
        <w:t xml:space="preserve"> </w:t>
      </w:r>
      <w:r w:rsidRPr="008B5ABD">
        <w:rPr>
          <w:rFonts w:ascii="Calibri" w:hAnsi="Calibri" w:cs="Calibri"/>
        </w:rPr>
        <w:t>земельному</w:t>
      </w:r>
      <w:r w:rsidRPr="008B5ABD">
        <w:t xml:space="preserve"> </w:t>
      </w:r>
      <w:r w:rsidRPr="008B5ABD">
        <w:rPr>
          <w:rFonts w:ascii="Calibri" w:hAnsi="Calibri" w:cs="Calibri"/>
        </w:rPr>
        <w:t>налогу</w:t>
      </w:r>
      <w:r w:rsidRPr="008B5ABD">
        <w:t xml:space="preserve">, </w:t>
      </w:r>
      <w:r w:rsidRPr="008B5ABD">
        <w:rPr>
          <w:rFonts w:ascii="Calibri" w:hAnsi="Calibri" w:cs="Calibri"/>
        </w:rPr>
        <w:t>если</w:t>
      </w:r>
      <w:r w:rsidRPr="008B5ABD">
        <w:t xml:space="preserve"> </w:t>
      </w:r>
      <w:r w:rsidRPr="008B5ABD">
        <w:rPr>
          <w:rFonts w:ascii="Calibri" w:hAnsi="Calibri" w:cs="Calibri"/>
        </w:rPr>
        <w:t>площадь</w:t>
      </w:r>
      <w:r w:rsidRPr="008B5ABD">
        <w:t xml:space="preserve"> </w:t>
      </w:r>
      <w:r w:rsidRPr="008B5ABD">
        <w:rPr>
          <w:rFonts w:ascii="Calibri" w:hAnsi="Calibri" w:cs="Calibri"/>
        </w:rPr>
        <w:t>участка</w:t>
      </w:r>
      <w:r w:rsidRPr="008B5ABD">
        <w:t xml:space="preserve"> </w:t>
      </w:r>
      <w:r w:rsidRPr="008B5ABD">
        <w:rPr>
          <w:rFonts w:ascii="Calibri" w:hAnsi="Calibri" w:cs="Calibri"/>
        </w:rPr>
        <w:t>не</w:t>
      </w:r>
      <w:r w:rsidRPr="008B5ABD">
        <w:t xml:space="preserve"> </w:t>
      </w:r>
      <w:proofErr w:type="gramStart"/>
      <w:r w:rsidRPr="008B5ABD">
        <w:rPr>
          <w:rFonts w:ascii="Calibri" w:hAnsi="Calibri" w:cs="Calibri"/>
        </w:rPr>
        <w:t>пре</w:t>
      </w:r>
      <w:r w:rsidRPr="008B5ABD">
        <w:t>вышает  6</w:t>
      </w:r>
      <w:proofErr w:type="gramEnd"/>
      <w:r w:rsidRPr="008B5ABD">
        <w:t xml:space="preserve"> соток.</w:t>
      </w:r>
      <w:r w:rsidRPr="008B5ABD">
        <w:br/>
        <w:t>В перечисленных случаях налогоплательщик полностью освобождается от уплаты налогов.</w:t>
      </w:r>
      <w:r w:rsidRPr="008B5ABD">
        <w:br/>
      </w:r>
      <w:r w:rsidRPr="008B5ABD">
        <w:br/>
      </w:r>
      <w:r>
        <w:t xml:space="preserve">            </w:t>
      </w:r>
      <w:r w:rsidRPr="008B5ABD">
        <w:t xml:space="preserve"> Кроме того, с 1 января 2025 года начали действовать дополнительные льготы на уплату транспортного налога одного из родителей (приемных родителей, усыновителей, опекунов, попечителей) в семье, имеющей статус многодетной, ветеранам боевых действий и членов семей погибших ветеранов боевых действий.  Преференцией смогут воспользоваться не только участники СВО, но и лица, участвовавшие в локальных конфликтах в Афганистане, Чечне, Сирии.</w:t>
      </w:r>
    </w:p>
    <w:p w:rsidR="008B5ABD" w:rsidRPr="008B5ABD" w:rsidRDefault="008B5ABD" w:rsidP="008B5ABD">
      <w:pPr>
        <w:jc w:val="both"/>
      </w:pPr>
      <w:r>
        <w:rPr>
          <w:rFonts w:cs="Segoe UI Symbol"/>
        </w:rPr>
        <w:t xml:space="preserve">            </w:t>
      </w:r>
      <w:r w:rsidRPr="008B5ABD">
        <w:t xml:space="preserve">Перечисленные категории налогоплательщиков, имеющих автомобиль мощностью от 100 до 150 и от 150 до 200 </w:t>
      </w:r>
      <w:proofErr w:type="spellStart"/>
      <w:r w:rsidRPr="008B5ABD">
        <w:t>л.с</w:t>
      </w:r>
      <w:proofErr w:type="spellEnd"/>
      <w:r w:rsidRPr="008B5ABD">
        <w:t xml:space="preserve">., смогут платить только за ту мощность, которая превышает 100 </w:t>
      </w:r>
      <w:proofErr w:type="spellStart"/>
      <w:r w:rsidRPr="008B5ABD">
        <w:t>л.с</w:t>
      </w:r>
      <w:proofErr w:type="spellEnd"/>
      <w:r w:rsidRPr="008B5ABD">
        <w:t xml:space="preserve">. На легковые автомобили мощностью до 100 </w:t>
      </w:r>
      <w:proofErr w:type="spellStart"/>
      <w:r w:rsidRPr="008B5ABD">
        <w:t>л.с</w:t>
      </w:r>
      <w:proofErr w:type="spellEnd"/>
      <w:r w:rsidRPr="008B5ABD">
        <w:t>.  льготная ставка действует с 2022 года.</w:t>
      </w:r>
    </w:p>
    <w:p w:rsidR="008B5ABD" w:rsidRPr="008B5ABD" w:rsidRDefault="008B5ABD" w:rsidP="008B5ABD">
      <w:pPr>
        <w:jc w:val="both"/>
      </w:pPr>
      <w:r>
        <w:t xml:space="preserve">             </w:t>
      </w:r>
      <w:r w:rsidRPr="008B5ABD">
        <w:t xml:space="preserve">Большинство льгот предоставляется в </w:t>
      </w:r>
      <w:proofErr w:type="spellStart"/>
      <w:r w:rsidRPr="008B5ABD">
        <w:t>проактивном</w:t>
      </w:r>
      <w:proofErr w:type="spellEnd"/>
      <w:r w:rsidRPr="008B5ABD">
        <w:t xml:space="preserve"> порядке на основании информационного обмена с Социальным фондом России, </w:t>
      </w:r>
      <w:proofErr w:type="spellStart"/>
      <w:r w:rsidRPr="008B5ABD">
        <w:t>Росреестром</w:t>
      </w:r>
      <w:proofErr w:type="spellEnd"/>
      <w:r w:rsidRPr="008B5ABD">
        <w:t>, Министерством обороны,</w:t>
      </w:r>
      <w:r>
        <w:t xml:space="preserve"> региональными органами соцзащит</w:t>
      </w:r>
      <w:r w:rsidRPr="008B5ABD">
        <w:t>ы.</w:t>
      </w:r>
    </w:p>
    <w:p w:rsidR="008B5ABD" w:rsidRPr="008B5ABD" w:rsidRDefault="008B5ABD" w:rsidP="008B5ABD">
      <w:pPr>
        <w:jc w:val="both"/>
      </w:pPr>
      <w:r>
        <w:t xml:space="preserve">            </w:t>
      </w:r>
      <w:r w:rsidRPr="008B5ABD">
        <w:t xml:space="preserve"> В случае если льгота установлена впервые в 2024 году, для получения льготы может понадобиться подача заявления в налоговый орган. Заявление можно подать лично, через почту, а также в электронном виде через сайт ФНС России, воспользовавшись сервисом «Личный кабинет налогоплательщика для физических лиц». Сделать это рекомендуется не позднее 1 апреля.</w:t>
      </w:r>
    </w:p>
    <w:p w:rsidR="008B5ABD" w:rsidRPr="008B5ABD" w:rsidRDefault="008B5ABD" w:rsidP="008B5ABD">
      <w:pPr>
        <w:jc w:val="both"/>
      </w:pPr>
      <w:r>
        <w:rPr>
          <w:rFonts w:cs="Segoe UI Symbol"/>
        </w:rPr>
        <w:t xml:space="preserve">            </w:t>
      </w:r>
      <w:r w:rsidRPr="008B5ABD">
        <w:t xml:space="preserve"> Чтобы узнать, предоставлена ли льгота, граждане могут воспользоваться сервисом «Личный кабинет налогоплательщика для физических лиц» или обратиться в налоговую инспекцию.</w:t>
      </w:r>
    </w:p>
    <w:p w:rsidR="005E635E" w:rsidRDefault="005E635E" w:rsidP="008B5ABD">
      <w:pPr>
        <w:jc w:val="both"/>
      </w:pPr>
    </w:p>
    <w:sectPr w:rsidR="005E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BD"/>
    <w:rsid w:val="005E635E"/>
    <w:rsid w:val="008B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9DDCB-17B7-4C6B-8700-900A46D3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Анна Александровна</dc:creator>
  <cp:keywords/>
  <dc:description/>
  <cp:lastModifiedBy>Бычкова Анна Александровна</cp:lastModifiedBy>
  <cp:revision>1</cp:revision>
  <dcterms:created xsi:type="dcterms:W3CDTF">2025-01-24T02:04:00Z</dcterms:created>
  <dcterms:modified xsi:type="dcterms:W3CDTF">2025-01-24T02:14:00Z</dcterms:modified>
</cp:coreProperties>
</file>