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  <w:lang w:val="ru-RU"/>
        </w:rPr>
        <w:t xml:space="preserve">Приложение</w:t>
      </w:r>
      <w:r>
        <w:rPr>
          <w:rFonts w:ascii="PT Astra Serif" w:hAnsi="PT Astra Serif" w:cs="PT Astra Serif" w:eastAsia="PT Astra Serif"/>
          <w:sz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/>
      <w:bookmarkStart w:id="0" w:name="_Hlk177402612"/>
      <w:r/>
      <w:r/>
    </w:p>
    <w:p>
      <w:pPr>
        <w:jc w:val="center"/>
        <w:rPr>
          <w:rFonts w:ascii="PT Astra Serif" w:hAnsi="PT Astra Serif" w:cs="PT Astra Serif" w:eastAsia="PT Astra Serif"/>
          <w:b/>
          <w:bCs/>
          <w:sz w:val="28"/>
          <w:szCs w:val="28"/>
        </w:rPr>
      </w:pPr>
      <w:r>
        <w:rPr>
          <w:rFonts w:ascii="PT Astra Serif" w:hAnsi="PT Astra Serif" w:cs="PT Astra Serif" w:eastAsia="PT Astra Serif"/>
          <w:b/>
          <w:bCs/>
          <w:sz w:val="28"/>
          <w:szCs w:val="28"/>
          <w:lang w:val="ru-RU"/>
        </w:rPr>
        <w:t xml:space="preserve">Информационные материалы для размещения на официальных сайтах 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  <w:r>
        <w:rPr>
          <w:rFonts w:ascii="PT Astra Serif" w:hAnsi="PT Astra Serif" w:cs="PT Astra Serif" w:eastAsia="PT Astra Serif"/>
          <w:sz w:val="28"/>
        </w:rPr>
      </w:r>
    </w:p>
    <w:p>
      <w:pPr>
        <w:rPr>
          <w:rFonts w:ascii="PT Astra Serif" w:hAnsi="PT Astra Serif" w:cs="PT Astra Serif" w:eastAsia="PT Astra Serif"/>
          <w:b/>
          <w:bCs/>
          <w:sz w:val="28"/>
        </w:rPr>
      </w:pPr>
      <w:r>
        <w:rPr>
          <w:rFonts w:ascii="PT Astra Serif" w:hAnsi="PT Astra Serif" w:cs="PT Astra Serif" w:eastAsia="PT Astra Serif"/>
          <w:b/>
          <w:bCs/>
          <w:sz w:val="28"/>
          <w:lang w:val="ru-RU"/>
        </w:rPr>
      </w:r>
      <w:r>
        <w:rPr>
          <w:rFonts w:ascii="PT Astra Serif" w:hAnsi="PT Astra Serif" w:cs="PT Astra Serif" w:eastAsia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Постановлением Правительства Российской Федерации от 21 ноября </w:t>
      </w:r>
      <w:r>
        <w:rPr>
          <w:rFonts w:ascii="PT Astra Serif" w:hAnsi="PT Astra Serif" w:cs="PT Astra Serif" w:eastAsia="PT Astra Serif"/>
          <w:sz w:val="28"/>
          <w:szCs w:val="28"/>
        </w:rPr>
        <w:br/>
        <w:t xml:space="preserve">2023 г. № 1944 утверждены:</w:t>
      </w:r>
      <w:r>
        <w:rPr>
          <w:rFonts w:ascii="PT Astra Serif" w:hAnsi="PT Astra Serif" w:cs="PT Astra Serif" w:eastAsia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- перечень случаев, при которых продажа товаров, подлежащих обязательной маркировке средствами идентификации, запрещена на основании информаци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PT Astra Serif" w:hAnsi="PT Astra Serif" w:cs="PT Astra Serif" w:eastAsia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и особенностей внедрения указанного запрета в отношении отдельных товаров;</w:t>
      </w:r>
      <w:r>
        <w:rPr>
          <w:rFonts w:ascii="PT Astra Serif" w:hAnsi="PT Astra Serif" w:cs="PT Astra Serif" w:eastAsia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PT Astra Serif" w:hAnsi="PT Astra Serif" w:cs="PT Astra Serif" w:eastAsia="PT Astra Serif"/>
          <w:sz w:val="28"/>
          <w:szCs w:val="28"/>
          <w:lang w:val="ru-RU"/>
        </w:rPr>
        <w:t xml:space="preserve"> с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лучаев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).</w:t>
      </w:r>
      <w:r>
        <w:rPr>
          <w:rFonts w:ascii="PT Astra Serif" w:hAnsi="PT Astra Serif" w:cs="PT Astra Serif" w:eastAsia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  <w:r>
        <w:rPr>
          <w:rFonts w:ascii="PT Astra Serif" w:hAnsi="PT Astra Serif" w:cs="PT Astra Serif" w:eastAsia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>
        <w:rPr>
          <w:rStyle w:val="567"/>
          <w:rFonts w:ascii="PT Astra Serif" w:hAnsi="PT Astra Serif" w:cs="PT Astra Serif" w:eastAsia="PT Astra Serif"/>
          <w:sz w:val="28"/>
          <w:szCs w:val="28"/>
        </w:rPr>
        <w:footnoteReference w:id="2"/>
      </w:r>
      <w:r>
        <w:rPr>
          <w:rFonts w:ascii="PT Astra Serif" w:hAnsi="PT Astra Serif" w:cs="PT Astra Serif" w:eastAsia="PT Astra Serif"/>
          <w:sz w:val="28"/>
          <w:szCs w:val="28"/>
        </w:rPr>
        <w:t xml:space="preserve">, парфюмерно-косметической продукции, предназначенной для гигиены рук, с заявленным в маркировке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потребительской упаковки антимикробным действием, а также кожных антисептиков - дезинфицирующих средств</w:t>
      </w:r>
      <w:r>
        <w:rPr>
          <w:rStyle w:val="567"/>
          <w:rFonts w:ascii="PT Astra Serif" w:hAnsi="PT Astra Serif" w:cs="PT Astra Serif" w:eastAsia="PT Astra Serif"/>
          <w:sz w:val="28"/>
          <w:szCs w:val="28"/>
        </w:rPr>
        <w:footnoteReference w:id="3"/>
      </w:r>
      <w:r>
        <w:rPr>
          <w:rFonts w:ascii="PT Astra Serif" w:hAnsi="PT Astra Serif" w:cs="PT Astra Serif" w:eastAsia="PT Astra Serif"/>
          <w:sz w:val="28"/>
          <w:szCs w:val="28"/>
        </w:rPr>
        <w:t xml:space="preserve">, биологически активных добавок к пище</w:t>
      </w:r>
      <w:r>
        <w:rPr>
          <w:rStyle w:val="567"/>
          <w:rFonts w:ascii="PT Astra Serif" w:hAnsi="PT Astra Serif" w:cs="PT Astra Serif" w:eastAsia="PT Astra Serif"/>
          <w:sz w:val="28"/>
          <w:szCs w:val="28"/>
        </w:rPr>
        <w:footnoteReference w:id="4"/>
      </w:r>
      <w:r>
        <w:rPr>
          <w:rFonts w:ascii="PT Astra Serif" w:hAnsi="PT Astra Serif" w:cs="PT Astra Serif" w:eastAsia="PT Astra Serif"/>
          <w:sz w:val="28"/>
          <w:szCs w:val="28"/>
        </w:rPr>
        <w:t xml:space="preserve">, обувных товаров</w:t>
      </w:r>
      <w:r>
        <w:rPr>
          <w:rStyle w:val="567"/>
          <w:rFonts w:ascii="PT Astra Serif" w:hAnsi="PT Astra Serif" w:cs="PT Astra Serif" w:eastAsia="PT Astra Serif"/>
          <w:sz w:val="28"/>
          <w:szCs w:val="28"/>
        </w:rPr>
        <w:footnoteReference w:id="5"/>
      </w:r>
      <w:r>
        <w:rPr>
          <w:rFonts w:ascii="PT Astra Serif" w:hAnsi="PT Astra Serif" w:cs="PT Astra Serif" w:eastAsia="PT Astra Serif"/>
          <w:sz w:val="28"/>
          <w:szCs w:val="28"/>
        </w:rPr>
        <w:t xml:space="preserve">, товаров легкой промышленности</w:t>
      </w:r>
      <w:r>
        <w:rPr>
          <w:rStyle w:val="567"/>
          <w:rFonts w:ascii="PT Astra Serif" w:hAnsi="PT Astra Serif" w:cs="PT Astra Serif" w:eastAsia="PT Astra Serif"/>
          <w:sz w:val="28"/>
          <w:szCs w:val="28"/>
        </w:rPr>
        <w:footnoteReference w:id="6"/>
      </w:r>
      <w:r>
        <w:rPr>
          <w:rFonts w:ascii="PT Astra Serif" w:hAnsi="PT Astra Serif" w:cs="PT Astra Serif" w:eastAsia="PT Astra Serif"/>
          <w:sz w:val="28"/>
          <w:szCs w:val="28"/>
        </w:rPr>
        <w:t xml:space="preserve"> фототоваров</w:t>
      </w:r>
      <w:r>
        <w:rPr>
          <w:rStyle w:val="567"/>
          <w:rFonts w:ascii="PT Astra Serif" w:hAnsi="PT Astra Serif" w:cs="PT Astra Serif" w:eastAsia="PT Astra Serif"/>
          <w:sz w:val="28"/>
          <w:szCs w:val="28"/>
        </w:rPr>
        <w:footnoteReference w:id="7"/>
      </w:r>
      <w:r>
        <w:rPr>
          <w:rFonts w:ascii="PT Astra Serif" w:hAnsi="PT Astra Serif" w:cs="PT Astra Serif" w:eastAsia="PT Astra Serif"/>
          <w:sz w:val="28"/>
          <w:szCs w:val="28"/>
        </w:rPr>
        <w:t xml:space="preserve">, шин</w:t>
      </w:r>
      <w:r>
        <w:rPr>
          <w:rStyle w:val="567"/>
          <w:rFonts w:ascii="PT Astra Serif" w:hAnsi="PT Astra Serif" w:cs="PT Astra Serif" w:eastAsia="PT Astra Serif"/>
          <w:sz w:val="28"/>
          <w:szCs w:val="28"/>
        </w:rPr>
        <w:footnoteReference w:id="8"/>
      </w:r>
      <w:r>
        <w:rPr>
          <w:rFonts w:ascii="PT Astra Serif" w:hAnsi="PT Astra Serif" w:cs="PT Astra Serif" w:eastAsia="PT Astra Serif"/>
          <w:sz w:val="28"/>
          <w:szCs w:val="28"/>
        </w:rPr>
        <w:t xml:space="preserve">, духов и туалетной воды</w:t>
      </w:r>
      <w:r>
        <w:rPr>
          <w:rStyle w:val="567"/>
          <w:rFonts w:ascii="PT Astra Serif" w:hAnsi="PT Astra Serif" w:cs="PT Astra Serif" w:eastAsia="PT Astra Serif"/>
          <w:sz w:val="28"/>
          <w:szCs w:val="28"/>
        </w:rPr>
        <w:footnoteReference w:id="9"/>
      </w:r>
      <w:r>
        <w:rPr>
          <w:rFonts w:ascii="PT Astra Serif" w:hAnsi="PT Astra Serif" w:cs="PT Astra Serif" w:eastAsia="PT Astra Serif"/>
          <w:sz w:val="28"/>
          <w:szCs w:val="28"/>
        </w:rPr>
        <w:t xml:space="preserve">.</w:t>
      </w:r>
      <w:r>
        <w:rPr>
          <w:rFonts w:ascii="PT Astra Serif" w:hAnsi="PT Astra Serif" w:cs="PT Astra Serif" w:eastAsia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  <w:r>
        <w:rPr>
          <w:rFonts w:ascii="PT Astra Serif" w:hAnsi="PT Astra Serif" w:cs="PT Astra Serif" w:eastAsia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>
        <w:rPr>
          <w:rFonts w:ascii="PT Astra Serif" w:hAnsi="PT Astra Serif" w:cs="PT Astra Serif" w:eastAsia="PT Astra Serif"/>
          <w:sz w:val="28"/>
          <w:szCs w:val="28"/>
          <w:lang w:val="ru-RU"/>
        </w:rPr>
        <w:t xml:space="preserve">ссылкам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: </w:t>
      </w:r>
      <w:r>
        <w:rPr>
          <w:rFonts w:ascii="PT Astra Serif" w:hAnsi="PT Astra Serif" w:cs="PT Astra Serif" w:eastAsia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  <w:lang w:val="ru-RU"/>
        </w:rPr>
        <w:t xml:space="preserve">- Разрешительный режим на кассах </w:t>
      </w:r>
      <w:hyperlink r:id="rId12" w:tooltip="https://markirovka.ru/community/rezhim-proverok-na-kassakh/rezhim-proverok-na-kassakh" w:history="1">
        <w:r>
          <w:rPr>
            <w:rStyle w:val="560"/>
            <w:rFonts w:ascii="PT Astra Serif" w:hAnsi="PT Astra Serif" w:cs="PT Astra Serif" w:eastAsia="PT Astra Serif"/>
            <w:sz w:val="28"/>
            <w:szCs w:val="28"/>
          </w:rPr>
          <w:t xml:space="preserve">https://markirovka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</w:rPr>
          <w:t xml:space="preserve">.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</w:rPr>
          <w:t xml:space="preserve">ru/co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</w:rPr>
          <w:t xml:space="preserve">m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</w:rPr>
          <w:t xml:space="preserve">munity/rezhim-proverok-na-kassakh/rezhim-proverok-na-kassakh</w:t>
        </w:r>
      </w:hyperlink>
      <w:r>
        <w:rPr>
          <w:rFonts w:ascii="PT Astra Serif" w:hAnsi="PT Astra Serif" w:cs="PT Astra Serif" w:eastAsia="PT Astra Serif"/>
          <w:sz w:val="28"/>
          <w:szCs w:val="28"/>
          <w:lang w:val="ru-RU"/>
        </w:rPr>
        <w:t xml:space="preserve">;</w:t>
      </w:r>
      <w:r>
        <w:rPr>
          <w:rFonts w:ascii="PT Astra Serif" w:hAnsi="PT Astra Serif" w:cs="PT Astra Serif" w:eastAsia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  <w:lang w:val="ru-RU"/>
        </w:rPr>
        <w:t xml:space="preserve">- Листовки со справочной информацией:</w:t>
      </w:r>
      <w:r>
        <w:rPr>
          <w:rFonts w:ascii="PT Astra Serif" w:hAnsi="PT Astra Serif" w:cs="PT Astra Serif" w:eastAsia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  <w:lang w:val="ru-RU"/>
        </w:rPr>
        <w:t xml:space="preserve">-</w:t>
      </w:r>
      <w:r>
        <w:rPr>
          <w:rFonts w:ascii="PT Astra Serif" w:hAnsi="PT Astra Serif" w:cs="PT Astra Serif" w:eastAsia="PT Astra Serif"/>
          <w:sz w:val="28"/>
          <w:szCs w:val="28"/>
          <w:lang w:val="ru-RU"/>
        </w:rPr>
        <w:t xml:space="preserve"> </w:t>
      </w:r>
      <w:hyperlink r:id="rId13" w:tooltip="https://xn--80ajghhoc2aj1c8b.xn--p1ai/business/projects/beer/helper/" w:history="1"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https://xn--80ajghhoc2aj1c8b.xn--p1ai/business/projects/beer/helper/</w:t>
        </w:r>
      </w:hyperlink>
      <w:r>
        <w:rPr>
          <w:rFonts w:ascii="PT Astra Serif" w:hAnsi="PT Astra Serif" w:cs="PT Astra Serif" w:eastAsia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 w:cs="PT Astra Serif" w:eastAsia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  <w:lang w:val="ru-RU"/>
        </w:rPr>
        <w:t xml:space="preserve">-</w:t>
      </w:r>
      <w:hyperlink r:id="rId14" w:tooltip="https://xn--80ajghhoc2aj1c8b.xn--p1ai/business/projects/antiseptic/checkout/helper/" w:history="1"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https://xn--80ajghhoc2aj1c8b.xn--p1ai/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business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/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projects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/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antiseptic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/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checkout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/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helper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/</w:t>
        </w:r>
      </w:hyperlink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  <w:lang w:val="ru-RU"/>
        </w:rPr>
        <w:t xml:space="preserve">-</w:t>
      </w:r>
      <w:hyperlink r:id="rId15" w:tooltip="https://xn--80ajghhoc2aj1c8b.xn--p1ai/business/projects/dietarysup/checkout/helper/" w:history="1"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https://xn--80ajghhoc2aj1c8b.xn--p1ai/business/projects/dietarys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u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p/checkout/helper/</w:t>
        </w:r>
      </w:hyperlink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  <w:lang w:val="ru-RU"/>
        </w:rPr>
        <w:t xml:space="preserve">-</w:t>
      </w:r>
      <w:hyperlink r:id="rId16" w:tooltip="https://xn--80ajghhoc2aj1c8b.xn--p1ai/business/projects/footwear/checkout/helper/" w:history="1"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https://xn--80ajghhoc2aj1c8b.xn--p1ai/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business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/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projects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/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footwear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/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checkout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/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helper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/</w:t>
        </w:r>
      </w:hyperlink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  <w:lang w:val="ru-RU"/>
        </w:rPr>
        <w:t xml:space="preserve">-</w:t>
      </w:r>
      <w:hyperlink r:id="rId17" w:tooltip="https://xn--80ajghhoc2aj1c8b.xn--p1ai/business/projects/light_industry/checkout/helper/" w:history="1"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https://xn--80ajghhoc2aj1c8b.xn--p1ai/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business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/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projects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/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light_industry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/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checkout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/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helper</w:t>
        </w:r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/</w:t>
        </w:r>
      </w:hyperlink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  <w:lang w:val="ru-RU"/>
        </w:rPr>
        <w:t xml:space="preserve">-</w:t>
      </w:r>
      <w:hyperlink r:id="rId18" w:tooltip="https://xn--80ajghhoc2aj1c8b.xn--p1ai/business/projects/photo_cameras_and_flashbulbs/checkout/helper/" w:history="1"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https://xn--80ajghhoc2aj1c8b.xn--p1ai/business/projects/photo_cameras_and_flashbulbs/checkout/helper/</w:t>
        </w:r>
      </w:hyperlink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  <w:lang w:val="ru-RU"/>
        </w:rPr>
        <w:t xml:space="preserve">-</w:t>
      </w:r>
      <w:hyperlink r:id="rId19" w:tooltip="https://xn--80ajghhoc2aj1c8b.xn--p1ai/business/projects/tyres/checkout/helper/" w:history="1"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https://xn--80ajghhoc2aj1c8b.xn--p1ai/business/projects/tyres/checkout/helper/</w:t>
        </w:r>
      </w:hyperlink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  <w:lang w:val="ru-RU"/>
        </w:rPr>
        <w:t xml:space="preserve">-</w:t>
      </w:r>
      <w:hyperlink r:id="rId20" w:tooltip="https://xn--80ajghhoc2aj1c8b.xn--p1ai/business/projects/perfumes/checkout/helper/" w:history="1">
        <w:r>
          <w:rPr>
            <w:rStyle w:val="560"/>
            <w:rFonts w:ascii="PT Astra Serif" w:hAnsi="PT Astra Serif" w:cs="PT Astra Serif" w:eastAsia="PT Astra Serif"/>
            <w:sz w:val="28"/>
            <w:szCs w:val="28"/>
            <w:lang w:val="ru-RU"/>
          </w:rPr>
          <w:t xml:space="preserve">https://xn--80ajghhoc2aj1c8b.xn--p1ai/business/projects/perfumes/checkout/helper/</w:t>
        </w:r>
      </w:hyperlink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</w:r>
      <w:r>
        <w:rPr>
          <w:rFonts w:ascii="PT Astra Serif" w:hAnsi="PT Astra Serif" w:cs="PT Astra Serif" w:eastAsia="PT Astra Serif"/>
          <w:sz w:val="28"/>
        </w:rPr>
      </w:r>
    </w:p>
    <w:p>
      <w:pPr>
        <w:rPr>
          <w:rFonts w:ascii="PT Astra Serif" w:hAnsi="PT Astra Serif" w:cs="PT Astra Serif" w:eastAsia="PT Astra Serif"/>
          <w:b/>
          <w:bCs/>
          <w:sz w:val="28"/>
        </w:rPr>
      </w:pPr>
      <w:r>
        <w:rPr>
          <w:rFonts w:ascii="PT Astra Serif" w:hAnsi="PT Astra Serif" w:cs="PT Astra Serif" w:eastAsia="PT Astra Serif"/>
          <w:b/>
          <w:bCs/>
          <w:sz w:val="28"/>
          <w:lang w:val="ru-RU"/>
        </w:rPr>
      </w:r>
      <w:bookmarkEnd w:id="0"/>
      <w:r>
        <w:rPr>
          <w:sz w:val="28"/>
        </w:rPr>
      </w:r>
      <w:r>
        <w:rPr>
          <w:rFonts w:ascii="PT Astra Serif" w:hAnsi="PT Astra Serif" w:cs="PT Astra Serif" w:eastAsia="PT Astra Serif"/>
          <w:sz w:val="28"/>
        </w:rPr>
      </w:r>
    </w:p>
    <w:p>
      <w:pPr>
        <w:rPr>
          <w:lang w:val="ru-RU"/>
        </w:rPr>
      </w:pPr>
      <w:r>
        <w:rPr>
          <w:lang w:val="ru-RU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/>
      </w:pPr>
      <w:r>
        <w:separator/>
      </w:r>
      <w:r/>
    </w:p>
  </w:endnote>
  <w:endnote w:type="continuationSeparator" w:id="0">
    <w:p>
      <w:pPr>
        <w:spacing w:lineRule="auto" w:line="24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/>
      </w:pPr>
      <w:r>
        <w:separator/>
      </w:r>
      <w:r/>
    </w:p>
  </w:footnote>
  <w:footnote w:type="continuationSeparator" w:id="0">
    <w:p>
      <w:pPr>
        <w:spacing w:lineRule="auto" w:line="240"/>
      </w:pPr>
      <w:r>
        <w:continuationSeparator/>
      </w:r>
      <w:r/>
    </w:p>
  </w:footnote>
  <w:footnote w:id="2">
    <w:p>
      <w:pPr>
        <w:pStyle w:val="565"/>
        <w:rPr>
          <w:rFonts w:ascii="Times New Roman" w:hAnsi="Times New Roman" w:cs="Times New Roman"/>
          <w:sz w:val="17"/>
          <w:szCs w:val="17"/>
          <w:shd w:val="clear" w:fill="FFFFFF" w:color="FFFFFF"/>
        </w:rPr>
      </w:pPr>
      <w:r>
        <w:rPr>
          <w:rStyle w:val="567"/>
        </w:rPr>
        <w:footnoteRef/>
      </w:r>
      <w:r>
        <w:t xml:space="preserve"> </w:t>
      </w:r>
      <w:r>
        <w:rPr>
          <w:rFonts w:ascii="Times New Roman" w:hAnsi="Times New Roman" w:cs="Times New Roman"/>
          <w:sz w:val="17"/>
          <w:szCs w:val="17"/>
          <w:shd w:val="clear" w:fill="FFFFFF" w:color="FFFFFF"/>
        </w:rPr>
        <w:t xml:space="preserve">Товары, подлежащие маркировке средствами идентификации в соответствии с постановлением Правительства Российской Федерации</w:t>
      </w:r>
      <w:r>
        <w:rPr>
          <w:rFonts w:ascii="Times New Roman" w:hAnsi="Times New Roman" w:cs="Times New Roman"/>
          <w:sz w:val="17"/>
          <w:szCs w:val="17"/>
          <w:shd w:val="clear" w:fill="FFFFFF" w:color="FFFFFF"/>
        </w:rPr>
        <w:t xml:space="preserve"> </w:t>
      </w:r>
      <w:r>
        <w:rPr>
          <w:rFonts w:ascii="Times New Roman" w:hAnsi="Times New Roman" w:cs="Times New Roman"/>
          <w:sz w:val="17"/>
          <w:szCs w:val="17"/>
          <w:shd w:val="clear" w:fill="FFFFFF" w:color="FFFFFF"/>
        </w:rPr>
        <w:t xml:space="preserve">от 30 ноября 2022 г. № 2173</w:t>
      </w:r>
      <w:r/>
    </w:p>
    <w:p>
      <w:pPr>
        <w:pStyle w:val="565"/>
        <w:rPr>
          <w:lang w:val="ru-RU"/>
        </w:rPr>
      </w:pPr>
      <w:r>
        <w:rPr>
          <w:lang w:val="ru-RU"/>
        </w:rPr>
      </w:r>
      <w:r/>
    </w:p>
  </w:footnote>
  <w:footnote w:id="3">
    <w:p>
      <w:pPr>
        <w:pStyle w:val="565"/>
        <w:jc w:val="both"/>
        <w:rPr>
          <w:rFonts w:ascii="Times New Roman" w:hAnsi="Times New Roman" w:cs="Times New Roman"/>
          <w:sz w:val="17"/>
          <w:szCs w:val="17"/>
          <w:shd w:val="clear" w:fill="FFFFFF" w:color="FFFFFF"/>
        </w:rPr>
      </w:pPr>
      <w:r>
        <w:rPr>
          <w:rStyle w:val="567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bookmarkStart w:id="1" w:name="_Hlk177982581"/>
      <w:r>
        <w:rPr>
          <w:rFonts w:ascii="Times New Roman" w:hAnsi="Times New Roman" w:cs="Times New Roman"/>
          <w:sz w:val="17"/>
          <w:szCs w:val="17"/>
          <w:shd w:val="clear" w:fill="FFFFFF" w:color="FFFFFF"/>
        </w:rPr>
        <w:t xml:space="preserve">Товары, подлежащие маркировке средствами идентификации в соответствии с постановлением Правительства Российской Федерации</w:t>
      </w:r>
      <w:bookmarkEnd w:id="1"/>
      <w:r>
        <w:rPr>
          <w:rFonts w:ascii="Times New Roman" w:hAnsi="Times New Roman" w:cs="Times New Roman"/>
          <w:sz w:val="17"/>
          <w:szCs w:val="17"/>
          <w:shd w:val="clear" w:fill="FFFFFF" w:color="FFFFFF"/>
        </w:rPr>
        <w:t xml:space="preserve"> от 30 мая 2023 г. № 870</w:t>
      </w:r>
      <w:r/>
    </w:p>
  </w:footnote>
  <w:footnote w:id="4">
    <w:p>
      <w:pPr>
        <w:pStyle w:val="56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567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  <w:r/>
    </w:p>
  </w:footnote>
  <w:footnote w:id="5">
    <w:p>
      <w:pPr>
        <w:pStyle w:val="56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567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  <w:r/>
    </w:p>
  </w:footnote>
  <w:footnote w:id="6">
    <w:p>
      <w:pPr>
        <w:pStyle w:val="56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567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  <w:r/>
    </w:p>
  </w:footnote>
  <w:footnote w:id="7">
    <w:p>
      <w:pPr>
        <w:pStyle w:val="56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567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  <w:r/>
    </w:p>
  </w:footnote>
  <w:footnote w:id="8">
    <w:p>
      <w:pPr>
        <w:pStyle w:val="56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567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  <w:r/>
    </w:p>
  </w:footnote>
  <w:footnote w:id="9">
    <w:p>
      <w:pPr>
        <w:pStyle w:val="565"/>
        <w:jc w:val="both"/>
      </w:pPr>
      <w:r>
        <w:rPr>
          <w:rStyle w:val="567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0"/>
      <w:jc w:val="center"/>
    </w:pPr>
    <w:fldSimple w:instr="PAGE \* MERGEFORMAT">
      <w:r>
        <w:t xml:space="preserve">1</w:t>
      </w:r>
    </w:fldSimple>
    <w:r/>
    <w:r/>
  </w:p>
  <w:p>
    <w:pPr>
      <w:pStyle w:val="40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0"/>
      <w:jc w:val="center"/>
    </w:pPr>
    <w:r/>
    <w:r/>
  </w:p>
  <w:p>
    <w:pPr>
      <w:pStyle w:val="40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ru" w:bidi="ar-SA" w:eastAsia="ru-RU"/>
      </w:rPr>
    </w:rPrDefault>
    <w:pPrDefault>
      <w:pPr>
        <w:spacing w:lineRule="auto" w:line="276" w:after="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553"/>
    <w:link w:val="547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553"/>
    <w:link w:val="548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553"/>
    <w:link w:val="549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553"/>
    <w:link w:val="550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553"/>
    <w:link w:val="551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553"/>
    <w:link w:val="552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46"/>
    <w:next w:val="54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5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46"/>
    <w:next w:val="54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5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46"/>
    <w:next w:val="54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5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553"/>
    <w:link w:val="557"/>
    <w:uiPriority w:val="10"/>
    <w:rPr>
      <w:sz w:val="48"/>
      <w:szCs w:val="48"/>
    </w:rPr>
  </w:style>
  <w:style w:type="character" w:styleId="35">
    <w:name w:val="Subtitle Char"/>
    <w:basedOn w:val="553"/>
    <w:link w:val="558"/>
    <w:uiPriority w:val="11"/>
    <w:rPr>
      <w:sz w:val="24"/>
      <w:szCs w:val="24"/>
    </w:rPr>
  </w:style>
  <w:style w:type="paragraph" w:styleId="36">
    <w:name w:val="Quote"/>
    <w:basedOn w:val="546"/>
    <w:next w:val="54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46"/>
    <w:next w:val="546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46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53"/>
    <w:link w:val="40"/>
    <w:uiPriority w:val="99"/>
  </w:style>
  <w:style w:type="paragraph" w:styleId="42">
    <w:name w:val="Footer"/>
    <w:basedOn w:val="546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53"/>
    <w:link w:val="42"/>
    <w:uiPriority w:val="99"/>
  </w:style>
  <w:style w:type="paragraph" w:styleId="44">
    <w:name w:val="Caption"/>
    <w:basedOn w:val="546"/>
    <w:next w:val="54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55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5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5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5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5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5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5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5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5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5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5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5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5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5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5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5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5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4">
    <w:name w:val="Footnote Text Char"/>
    <w:link w:val="565"/>
    <w:uiPriority w:val="99"/>
    <w:rPr>
      <w:sz w:val="18"/>
    </w:rPr>
  </w:style>
  <w:style w:type="paragraph" w:styleId="176">
    <w:name w:val="endnote text"/>
    <w:basedOn w:val="546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53"/>
    <w:uiPriority w:val="99"/>
    <w:semiHidden/>
    <w:unhideWhenUsed/>
    <w:rPr>
      <w:vertAlign w:val="superscript"/>
    </w:rPr>
  </w:style>
  <w:style w:type="paragraph" w:styleId="179">
    <w:name w:val="toc 1"/>
    <w:basedOn w:val="546"/>
    <w:next w:val="54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46"/>
    <w:next w:val="54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46"/>
    <w:next w:val="54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46"/>
    <w:next w:val="54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46"/>
    <w:next w:val="54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46"/>
    <w:next w:val="54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46"/>
    <w:next w:val="54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46"/>
    <w:next w:val="54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46"/>
    <w:next w:val="54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546" w:default="1">
    <w:name w:val="Normal"/>
    <w:qFormat/>
  </w:style>
  <w:style w:type="paragraph" w:styleId="547">
    <w:name w:val="Heading 1"/>
    <w:basedOn w:val="546"/>
    <w:next w:val="546"/>
    <w:qFormat/>
    <w:uiPriority w:val="9"/>
    <w:rPr>
      <w:sz w:val="40"/>
      <w:szCs w:val="40"/>
    </w:rPr>
    <w:pPr>
      <w:keepLines/>
      <w:keepNext/>
      <w:spacing w:after="120" w:before="400"/>
      <w:outlineLvl w:val="0"/>
    </w:pPr>
  </w:style>
  <w:style w:type="paragraph" w:styleId="548">
    <w:name w:val="Heading 2"/>
    <w:basedOn w:val="546"/>
    <w:next w:val="546"/>
    <w:qFormat/>
    <w:uiPriority w:val="9"/>
    <w:semiHidden/>
    <w:unhideWhenUsed/>
    <w:rPr>
      <w:sz w:val="32"/>
      <w:szCs w:val="32"/>
    </w:rPr>
    <w:pPr>
      <w:keepLines/>
      <w:keepNext/>
      <w:spacing w:after="120" w:before="360"/>
      <w:outlineLvl w:val="1"/>
    </w:pPr>
  </w:style>
  <w:style w:type="paragraph" w:styleId="549">
    <w:name w:val="Heading 3"/>
    <w:basedOn w:val="546"/>
    <w:next w:val="546"/>
    <w:qFormat/>
    <w:uiPriority w:val="9"/>
    <w:semiHidden/>
    <w:unhideWhenUsed/>
    <w:rPr>
      <w:color w:val="434343"/>
      <w:sz w:val="28"/>
      <w:szCs w:val="28"/>
    </w:rPr>
    <w:pPr>
      <w:keepLines/>
      <w:keepNext/>
      <w:spacing w:after="80" w:before="320"/>
      <w:outlineLvl w:val="2"/>
    </w:pPr>
  </w:style>
  <w:style w:type="paragraph" w:styleId="550">
    <w:name w:val="Heading 4"/>
    <w:basedOn w:val="546"/>
    <w:next w:val="546"/>
    <w:qFormat/>
    <w:uiPriority w:val="9"/>
    <w:semiHidden/>
    <w:unhideWhenUsed/>
    <w:rPr>
      <w:color w:val="666666"/>
      <w:sz w:val="24"/>
      <w:szCs w:val="24"/>
    </w:rPr>
    <w:pPr>
      <w:keepLines/>
      <w:keepNext/>
      <w:spacing w:after="80" w:before="280"/>
      <w:outlineLvl w:val="3"/>
    </w:pPr>
  </w:style>
  <w:style w:type="paragraph" w:styleId="551">
    <w:name w:val="Heading 5"/>
    <w:basedOn w:val="546"/>
    <w:next w:val="546"/>
    <w:qFormat/>
    <w:uiPriority w:val="9"/>
    <w:semiHidden/>
    <w:unhideWhenUsed/>
    <w:rPr>
      <w:color w:val="666666"/>
    </w:rPr>
    <w:pPr>
      <w:keepLines/>
      <w:keepNext/>
      <w:spacing w:after="80" w:before="240"/>
      <w:outlineLvl w:val="4"/>
    </w:pPr>
  </w:style>
  <w:style w:type="paragraph" w:styleId="552">
    <w:name w:val="Heading 6"/>
    <w:basedOn w:val="546"/>
    <w:next w:val="546"/>
    <w:qFormat/>
    <w:uiPriority w:val="9"/>
    <w:semiHidden/>
    <w:unhideWhenUsed/>
    <w:rPr>
      <w:i/>
      <w:color w:val="666666"/>
    </w:rPr>
    <w:pPr>
      <w:keepLines/>
      <w:keepNext/>
      <w:spacing w:after="80" w:before="240"/>
      <w:outlineLvl w:val="5"/>
    </w:pPr>
  </w:style>
  <w:style w:type="character" w:styleId="553" w:default="1">
    <w:name w:val="Default Paragraph Font"/>
    <w:uiPriority w:val="1"/>
    <w:unhideWhenUsed/>
  </w:style>
  <w:style w:type="table" w:styleId="5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55" w:default="1">
    <w:name w:val="No List"/>
    <w:uiPriority w:val="99"/>
    <w:semiHidden/>
    <w:unhideWhenUsed/>
  </w:style>
  <w:style w:type="table" w:styleId="55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557">
    <w:name w:val="Title"/>
    <w:basedOn w:val="546"/>
    <w:next w:val="546"/>
    <w:qFormat/>
    <w:uiPriority w:val="10"/>
    <w:rPr>
      <w:sz w:val="52"/>
      <w:szCs w:val="52"/>
    </w:rPr>
    <w:pPr>
      <w:keepLines/>
      <w:keepNext/>
      <w:spacing w:after="60"/>
    </w:pPr>
  </w:style>
  <w:style w:type="paragraph" w:styleId="558">
    <w:name w:val="Subtitle"/>
    <w:basedOn w:val="546"/>
    <w:next w:val="546"/>
    <w:qFormat/>
    <w:uiPriority w:val="11"/>
    <w:rPr>
      <w:color w:val="666666"/>
      <w:sz w:val="30"/>
      <w:szCs w:val="30"/>
    </w:rPr>
    <w:pPr>
      <w:keepLines/>
      <w:keepNext/>
      <w:spacing w:after="320"/>
    </w:pPr>
  </w:style>
  <w:style w:type="paragraph" w:styleId="559">
    <w:name w:val="Normal (Web)"/>
    <w:basedOn w:val="546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val="ru-RU"/>
    </w:rPr>
    <w:pPr>
      <w:spacing w:lineRule="auto" w:line="240" w:after="100" w:afterAutospacing="1" w:before="100" w:beforeAutospacing="1"/>
    </w:pPr>
  </w:style>
  <w:style w:type="character" w:styleId="560">
    <w:name w:val="Hyperlink"/>
    <w:basedOn w:val="553"/>
    <w:uiPriority w:val="99"/>
    <w:unhideWhenUsed/>
    <w:rPr>
      <w:color w:val="0000FF"/>
      <w:u w:val="single"/>
    </w:rPr>
  </w:style>
  <w:style w:type="table" w:styleId="561">
    <w:name w:val="Table Grid"/>
    <w:basedOn w:val="554"/>
    <w:uiPriority w:val="39"/>
    <w:rPr>
      <w:lang w:val="ru-RU"/>
    </w:rPr>
    <w:pPr>
      <w:spacing w:lineRule="auto" w:line="24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562">
    <w:name w:val="FollowedHyperlink"/>
    <w:basedOn w:val="553"/>
    <w:uiPriority w:val="99"/>
    <w:semiHidden/>
    <w:unhideWhenUsed/>
    <w:rPr>
      <w:color w:val="800080" w:themeColor="followedHyperlink"/>
      <w:u w:val="single"/>
    </w:rPr>
  </w:style>
  <w:style w:type="paragraph" w:styleId="563">
    <w:name w:val="List Paragraph"/>
    <w:basedOn w:val="546"/>
    <w:qFormat/>
    <w:uiPriority w:val="34"/>
    <w:pPr>
      <w:contextualSpacing w:val="true"/>
      <w:ind w:left="720"/>
    </w:pPr>
  </w:style>
  <w:style w:type="character" w:styleId="564">
    <w:name w:val="Unresolved Mention"/>
    <w:basedOn w:val="553"/>
    <w:uiPriority w:val="99"/>
    <w:semiHidden/>
    <w:unhideWhenUsed/>
    <w:rPr>
      <w:color w:val="605E5C"/>
      <w:shd w:val="clear" w:fill="E1DFDD" w:color="E1DFDD"/>
    </w:rPr>
  </w:style>
  <w:style w:type="paragraph" w:styleId="565">
    <w:name w:val="footnote text"/>
    <w:basedOn w:val="546"/>
    <w:link w:val="566"/>
    <w:uiPriority w:val="99"/>
    <w:semiHidden/>
    <w:unhideWhenUsed/>
    <w:rPr>
      <w:sz w:val="20"/>
      <w:szCs w:val="20"/>
    </w:rPr>
    <w:pPr>
      <w:spacing w:lineRule="auto" w:line="240"/>
    </w:pPr>
  </w:style>
  <w:style w:type="character" w:styleId="566" w:customStyle="1">
    <w:name w:val="Текст сноски Знак"/>
    <w:basedOn w:val="553"/>
    <w:link w:val="565"/>
    <w:uiPriority w:val="99"/>
    <w:semiHidden/>
    <w:rPr>
      <w:sz w:val="20"/>
      <w:szCs w:val="20"/>
    </w:rPr>
  </w:style>
  <w:style w:type="character" w:styleId="567">
    <w:name w:val="footnote reference"/>
    <w:basedOn w:val="55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antiseptic/checkout/helper/" TargetMode="External"/><Relationship Id="rId15" Type="http://schemas.openxmlformats.org/officeDocument/2006/relationships/hyperlink" Target="https://xn--80ajghhoc2aj1c8b.xn--p1ai/business/projects/dietarysup/checkout/helper/" TargetMode="External"/><Relationship Id="rId16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hyperlink" Target="https://xn--80ajghhoc2aj1c8b.xn--p1ai/business/projects/photo_cameras_and_flashbulbs/checkout/helper/" TargetMode="External"/><Relationship Id="rId19" Type="http://schemas.openxmlformats.org/officeDocument/2006/relationships/hyperlink" Target="https://xn--80ajghhoc2aj1c8b.xn--p1ai/business/projects/tyres/checkout/helper/" TargetMode="External"/><Relationship Id="rId20" Type="http://schemas.openxmlformats.org/officeDocument/2006/relationships/hyperlink" Target="https://xn--80ajghhoc2aj1c8b.xn--p1ai/business/projects/perfumes/checkout/helper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revision>3</cp:revision>
  <dcterms:created xsi:type="dcterms:W3CDTF">2024-09-23T09:00:00Z</dcterms:created>
  <dcterms:modified xsi:type="dcterms:W3CDTF">2024-09-25T10:27:18Z</dcterms:modified>
</cp:coreProperties>
</file>