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6" w:rsidRPr="00C80296" w:rsidRDefault="00C80296" w:rsidP="00C80296">
      <w:pPr>
        <w:shd w:val="clear" w:color="auto" w:fill="FFFFFF"/>
        <w:spacing w:before="300" w:after="150" w:line="240" w:lineRule="auto"/>
        <w:jc w:val="center"/>
        <w:outlineLvl w:val="0"/>
        <w:rPr>
          <w:rFonts w:ascii="Circe" w:eastAsia="Times New Roman" w:hAnsi="Circe"/>
          <w:b/>
          <w:bCs/>
          <w:color w:val="2C2A29"/>
          <w:kern w:val="36"/>
          <w:sz w:val="63"/>
          <w:szCs w:val="63"/>
          <w:lang w:eastAsia="ru-RU"/>
        </w:rPr>
      </w:pPr>
      <w:r w:rsidRPr="00C80296">
        <w:rPr>
          <w:rFonts w:ascii="Circe" w:eastAsia="Times New Roman" w:hAnsi="Circe"/>
          <w:b/>
          <w:bCs/>
          <w:color w:val="2C2A29"/>
          <w:kern w:val="36"/>
          <w:sz w:val="63"/>
          <w:szCs w:val="63"/>
          <w:lang w:eastAsia="ru-RU"/>
        </w:rPr>
        <w:t xml:space="preserve">Итоги всероссийской </w:t>
      </w:r>
      <w:proofErr w:type="gramStart"/>
      <w:r w:rsidRPr="00C80296">
        <w:rPr>
          <w:rFonts w:ascii="Circe" w:eastAsia="Times New Roman" w:hAnsi="Circe"/>
          <w:b/>
          <w:bCs/>
          <w:color w:val="2C2A29"/>
          <w:kern w:val="36"/>
          <w:sz w:val="63"/>
          <w:szCs w:val="63"/>
          <w:lang w:eastAsia="ru-RU"/>
        </w:rPr>
        <w:t>конференции инфраструктуры поддержки экспорта</w:t>
      </w:r>
      <w:proofErr w:type="gramEnd"/>
      <w:r w:rsidRPr="00C80296">
        <w:rPr>
          <w:rFonts w:ascii="Circe" w:eastAsia="Times New Roman" w:hAnsi="Circe"/>
          <w:b/>
          <w:bCs/>
          <w:color w:val="2C2A29"/>
          <w:kern w:val="36"/>
          <w:sz w:val="63"/>
          <w:szCs w:val="63"/>
          <w:lang w:eastAsia="ru-RU"/>
        </w:rPr>
        <w:t xml:space="preserve"> подвели в Саранске</w:t>
      </w:r>
    </w:p>
    <w:p w:rsidR="00C80296" w:rsidRPr="00C80296" w:rsidRDefault="00C80296" w:rsidP="00C80296">
      <w:pPr>
        <w:shd w:val="clear" w:color="auto" w:fill="FFFFFF"/>
        <w:spacing w:after="0" w:line="240" w:lineRule="auto"/>
        <w:rPr>
          <w:rFonts w:ascii="PT Sans" w:eastAsia="Times New Roman" w:hAnsi="PT Sans"/>
          <w:b/>
          <w:bCs/>
          <w:caps/>
          <w:color w:val="000000"/>
          <w:sz w:val="24"/>
          <w:szCs w:val="24"/>
          <w:lang w:eastAsia="ru-RU"/>
        </w:rPr>
      </w:pPr>
      <w:r w:rsidRPr="00C80296">
        <w:rPr>
          <w:rFonts w:ascii="PT Sans" w:eastAsia="Times New Roman" w:hAnsi="PT Sans"/>
          <w:b/>
          <w:bCs/>
          <w:caps/>
          <w:color w:val="000000"/>
          <w:sz w:val="24"/>
          <w:szCs w:val="24"/>
          <w:lang w:eastAsia="ru-RU"/>
        </w:rPr>
        <w:t>ПОДЕЛИТЬСЯ:</w:t>
      </w:r>
    </w:p>
    <w:p w:rsidR="00C80296" w:rsidRPr="00C80296" w:rsidRDefault="00C80296" w:rsidP="00C80296">
      <w:pPr>
        <w:numPr>
          <w:ilvl w:val="0"/>
          <w:numId w:val="1"/>
        </w:numPr>
        <w:shd w:val="clear" w:color="auto" w:fill="FFFFFF"/>
        <w:spacing w:before="30" w:after="0" w:line="240" w:lineRule="auto"/>
        <w:ind w:left="75" w:right="-165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C80296" w:rsidRPr="00C80296" w:rsidRDefault="00C80296" w:rsidP="00C80296">
      <w:pPr>
        <w:numPr>
          <w:ilvl w:val="0"/>
          <w:numId w:val="1"/>
        </w:numPr>
        <w:shd w:val="clear" w:color="auto" w:fill="FFFFFF"/>
        <w:spacing w:before="30" w:after="0" w:line="240" w:lineRule="auto"/>
        <w:ind w:left="75"/>
        <w:textAlignment w:val="top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ru-RU"/>
        </w:rPr>
      </w:pPr>
    </w:p>
    <w:p w:rsidR="00C80296" w:rsidRPr="00C80296" w:rsidRDefault="00C80296" w:rsidP="00C80296">
      <w:pPr>
        <w:shd w:val="clear" w:color="auto" w:fill="FFFFFF"/>
        <w:spacing w:after="0" w:line="240" w:lineRule="auto"/>
        <w:rPr>
          <w:rFonts w:ascii="PT Sans" w:eastAsia="Times New Roman" w:hAnsi="PT Sans"/>
          <w:color w:val="7B7B7B"/>
          <w:sz w:val="23"/>
          <w:szCs w:val="23"/>
          <w:lang w:eastAsia="ru-RU"/>
        </w:rPr>
      </w:pPr>
      <w:r w:rsidRPr="00C80296">
        <w:rPr>
          <w:rFonts w:ascii="PT Sans" w:eastAsia="Times New Roman" w:hAnsi="PT Sans"/>
          <w:color w:val="7B7B7B"/>
          <w:sz w:val="23"/>
          <w:szCs w:val="23"/>
          <w:lang w:eastAsia="ru-RU"/>
        </w:rPr>
        <w:t>14.02.2024</w:t>
      </w:r>
    </w:p>
    <w:p w:rsidR="00C80296" w:rsidRPr="00C80296" w:rsidRDefault="00C80296" w:rsidP="00C80296">
      <w:pPr>
        <w:shd w:val="clear" w:color="auto" w:fill="FFFFFF"/>
        <w:spacing w:line="240" w:lineRule="auto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hyperlink r:id="rId5" w:history="1">
        <w:r w:rsidRPr="00C80296">
          <w:rPr>
            <w:rFonts w:ascii="PT Sans" w:eastAsia="Times New Roman" w:hAnsi="PT Sans"/>
            <w:color w:val="7B7B7B"/>
            <w:sz w:val="23"/>
            <w:lang w:eastAsia="ru-RU"/>
          </w:rPr>
          <w:t>#</w:t>
        </w:r>
        <w:proofErr w:type="spellStart"/>
        <w:r w:rsidRPr="00C80296">
          <w:rPr>
            <w:rFonts w:ascii="PT Sans" w:eastAsia="Times New Roman" w:hAnsi="PT Sans"/>
            <w:color w:val="7B7B7B"/>
            <w:sz w:val="23"/>
            <w:lang w:eastAsia="ru-RU"/>
          </w:rPr>
          <w:t>цпэ</w:t>
        </w:r>
        <w:proofErr w:type="spellEnd"/>
      </w:hyperlink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 </w:t>
      </w:r>
    </w:p>
    <w:p w:rsidR="00C80296" w:rsidRPr="00C80296" w:rsidRDefault="00C80296" w:rsidP="00C80296">
      <w:pPr>
        <w:shd w:val="clear" w:color="auto" w:fill="FFFFFF"/>
        <w:spacing w:after="150" w:line="390" w:lineRule="atLeast"/>
        <w:jc w:val="both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С 5 по 7 февраля 2024 года в городе Саранске прошла Всероссийская конференция инфраструктуры поддержки экспорта, на которой обсуждались результаты </w:t>
      </w:r>
      <w:proofErr w:type="gram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работы региональных центров поддержки экспорта</w:t>
      </w:r>
      <w:proofErr w:type="gram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 за 2023 год.</w:t>
      </w:r>
    </w:p>
    <w:p w:rsidR="00C80296" w:rsidRPr="00C80296" w:rsidRDefault="00C80296" w:rsidP="00C80296">
      <w:pPr>
        <w:shd w:val="clear" w:color="auto" w:fill="FFFFFF"/>
        <w:spacing w:after="150" w:line="390" w:lineRule="atLeast"/>
        <w:jc w:val="both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proofErr w:type="gramStart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>Конференция была организована с целью обмена опытом и лучшими практиками между регионами в области поддержки и развития экспорта, а также для обсуждения новых возможностей и инструментов стимулирования экспорта.</w:t>
      </w:r>
      <w:proofErr w:type="gramEnd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 xml:space="preserve"> Участники обсудили вопросы эффективности финансовых и нефинансовых механизмов поддержки экспортеров, а также роль </w:t>
      </w:r>
      <w:proofErr w:type="spellStart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>ЦПЭ</w:t>
      </w:r>
      <w:proofErr w:type="spellEnd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 xml:space="preserve"> в этом процессе.</w:t>
      </w:r>
    </w:p>
    <w:p w:rsidR="00C80296" w:rsidRPr="00C80296" w:rsidRDefault="00C80296" w:rsidP="00C80296">
      <w:pPr>
        <w:shd w:val="clear" w:color="auto" w:fill="FFFFFF"/>
        <w:spacing w:after="150" w:line="390" w:lineRule="atLeast"/>
        <w:jc w:val="both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В данном мероприятии причиняли участие руководители центров поддержки экспорта и их заместители из 82 регионов страны, а также представители АО «Российский экспортный центр».</w:t>
      </w:r>
    </w:p>
    <w:p w:rsidR="00C80296" w:rsidRPr="00C80296" w:rsidRDefault="00C80296" w:rsidP="00C80296">
      <w:pPr>
        <w:shd w:val="clear" w:color="auto" w:fill="FFFFFF"/>
        <w:spacing w:line="240" w:lineRule="auto"/>
        <w:jc w:val="both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«Несмотря на сложности, возникшие на пути экспортеров за последние годы, объемы экспортных поставок малых и средних компаний при поддержке центров поддержки экспорта не сократились и составили более $1,5 </w:t>
      </w:r>
      <w:proofErr w:type="spellStart"/>
      <w:proofErr w:type="gram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млрд</w:t>
      </w:r>
      <w:proofErr w:type="spellEnd"/>
      <w:proofErr w:type="gram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 в 2023 году. Стоит отметить, что услуга по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софинансированию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 логистики, которую мы ввели в середине 2022 года, в прошлом году помогла многим экспортерам сократить свои издержки при переориентации экспорта в страны Ближнего Востока и Китай», — Наталья Минаева, директор по развитию региональной инфраструктуры поддержки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РЭЦ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.</w:t>
      </w:r>
    </w:p>
    <w:p w:rsidR="00C80296" w:rsidRPr="00C80296" w:rsidRDefault="00C80296" w:rsidP="00C80296">
      <w:pPr>
        <w:shd w:val="clear" w:color="auto" w:fill="FFFFFF"/>
        <w:spacing w:after="150" w:line="390" w:lineRule="atLeast"/>
        <w:jc w:val="both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Также, в ходе Всероссийской </w:t>
      </w:r>
      <w:proofErr w:type="gram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конференции инфраструктуры поддержки экспорта</w:t>
      </w:r>
      <w:proofErr w:type="gram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 были подведены итоги уникальной образовательной программы «Формирование кадрового резерва центров поддержки экспорта. Организация эффективной работы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ЦПЭ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» от Школы экспорта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РЭЦ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 для заместителей руководителей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ЦПЭ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.</w:t>
      </w:r>
    </w:p>
    <w:p w:rsidR="00C80296" w:rsidRPr="00C80296" w:rsidRDefault="00C80296" w:rsidP="00C80296">
      <w:pPr>
        <w:shd w:val="clear" w:color="auto" w:fill="FFFFFF"/>
        <w:spacing w:line="240" w:lineRule="auto"/>
        <w:jc w:val="both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proofErr w:type="gram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lastRenderedPageBreak/>
        <w:t xml:space="preserve">«Программа позволяет сформировать целый ряд профессиональных компетенций, которые необходимы для регулирования и управления деятельностью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ЦПЭ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, разработки плана развития центров и его эффективного исполнения, достижения показателей», — генеральный директор Школы экспорта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РЭЦ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 </w:t>
      </w:r>
      <w:proofErr w:type="spellStart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>Алисия</w:t>
      </w:r>
      <w:proofErr w:type="spellEnd"/>
      <w:r w:rsidRPr="00C80296">
        <w:rPr>
          <w:rFonts w:ascii="PT Sans" w:eastAsia="Times New Roman" w:hAnsi="PT Sans"/>
          <w:color w:val="000000"/>
          <w:sz w:val="26"/>
          <w:szCs w:val="26"/>
          <w:lang w:eastAsia="ru-RU"/>
        </w:rPr>
        <w:t xml:space="preserve"> Никитина.</w:t>
      </w:r>
      <w:proofErr w:type="gramEnd"/>
    </w:p>
    <w:p w:rsidR="00C80296" w:rsidRPr="00C80296" w:rsidRDefault="00C80296" w:rsidP="00C80296">
      <w:pPr>
        <w:shd w:val="clear" w:color="auto" w:fill="FFFFFF"/>
        <w:spacing w:after="150" w:line="390" w:lineRule="atLeast"/>
        <w:jc w:val="both"/>
        <w:rPr>
          <w:rFonts w:ascii="PT Sans" w:eastAsia="Times New Roman" w:hAnsi="PT Sans"/>
          <w:color w:val="000000"/>
          <w:sz w:val="26"/>
          <w:szCs w:val="26"/>
          <w:lang w:eastAsia="ru-RU"/>
        </w:rPr>
      </w:pPr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 xml:space="preserve">В третий день работы конференции были представлены рейтинги эффективности работы </w:t>
      </w:r>
      <w:proofErr w:type="spellStart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>ЦПЭ</w:t>
      </w:r>
      <w:proofErr w:type="spellEnd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 xml:space="preserve"> и были объявлены лидеры по итогам 2023 года. Алтайский край вошел в «Топ-20 </w:t>
      </w:r>
      <w:proofErr w:type="gramStart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>лучших</w:t>
      </w:r>
      <w:proofErr w:type="gramEnd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>ЦПЭ</w:t>
      </w:r>
      <w:proofErr w:type="spellEnd"/>
      <w:r w:rsidRPr="00C80296">
        <w:rPr>
          <w:rFonts w:ascii="Circe" w:eastAsia="Times New Roman" w:hAnsi="Circe"/>
          <w:b/>
          <w:bCs/>
          <w:color w:val="000000"/>
          <w:sz w:val="26"/>
          <w:szCs w:val="26"/>
          <w:lang w:eastAsia="ru-RU"/>
        </w:rPr>
        <w:t xml:space="preserve"> в России».</w:t>
      </w:r>
    </w:p>
    <w:p w:rsidR="00FB5673" w:rsidRDefault="00FB5673"/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386E"/>
    <w:multiLevelType w:val="multilevel"/>
    <w:tmpl w:val="8DF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96"/>
    <w:rsid w:val="000A2310"/>
    <w:rsid w:val="000D7AE8"/>
    <w:rsid w:val="002E570C"/>
    <w:rsid w:val="003C270F"/>
    <w:rsid w:val="00555EE8"/>
    <w:rsid w:val="00A567C3"/>
    <w:rsid w:val="00C80296"/>
    <w:rsid w:val="00E7637D"/>
    <w:rsid w:val="00ED4F95"/>
    <w:rsid w:val="00FB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E8"/>
  </w:style>
  <w:style w:type="paragraph" w:styleId="1">
    <w:name w:val="heading 1"/>
    <w:basedOn w:val="a"/>
    <w:link w:val="10"/>
    <w:uiPriority w:val="9"/>
    <w:qFormat/>
    <w:rsid w:val="00C8029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96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02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29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7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02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932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3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598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1835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2765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22-9kcqjffxnf3b.xn--p1ai/news/?arrFilter_ff%5BTAGS%5D=%D1%86%D0%BF%D1%8D&amp;set_filter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Губенков</dc:creator>
  <cp:keywords/>
  <dc:description/>
  <cp:lastModifiedBy>Никита Губенков</cp:lastModifiedBy>
  <cp:revision>2</cp:revision>
  <dcterms:created xsi:type="dcterms:W3CDTF">2024-02-14T07:06:00Z</dcterms:created>
  <dcterms:modified xsi:type="dcterms:W3CDTF">2024-02-14T07:06:00Z</dcterms:modified>
</cp:coreProperties>
</file>